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02">
      <w:pPr>
        <w:pStyle w:val="Subtitle"/>
        <w:rPr>
          <w:vertAlign w:val="baseline"/>
        </w:rPr>
      </w:pPr>
      <w:r w:rsidDel="00000000" w:rsidR="00000000" w:rsidRPr="00000000">
        <w:rPr>
          <w:b w:val="1"/>
          <w:smallCaps w:val="1"/>
          <w:vertAlign w:val="baseline"/>
          <w:rtl w:val="0"/>
        </w:rPr>
        <w:t xml:space="preserve">Evaluation Goals &amp; Objectives</w:t>
      </w:r>
      <w:r w:rsidDel="00000000" w:rsidR="00000000" w:rsidRPr="00000000">
        <w:rPr>
          <w:rtl w:val="0"/>
        </w:rPr>
      </w:r>
    </w:p>
    <w:p w:rsidR="00000000" w:rsidDel="00000000" w:rsidP="00000000" w:rsidRDefault="00000000" w:rsidRPr="00000000" w14:paraId="00000003">
      <w:pPr>
        <w:pStyle w:val="Heading1"/>
        <w:rPr>
          <w:vertAlign w:val="baseline"/>
        </w:rPr>
      </w:pPr>
      <w:r w:rsidDel="00000000" w:rsidR="00000000" w:rsidRPr="00000000">
        <w:rPr>
          <w:rtl w:val="0"/>
        </w:rPr>
      </w:r>
    </w:p>
    <w:tbl>
      <w:tblPr>
        <w:tblStyle w:val="Table1"/>
        <w:tblW w:w="13935.0" w:type="dxa"/>
        <w:jc w:val="left"/>
        <w:tblInd w:w="600.0" w:type="dxa"/>
        <w:tblLayout w:type="fixed"/>
        <w:tblLook w:val="0000"/>
      </w:tblPr>
      <w:tblGrid>
        <w:gridCol w:w="1440"/>
        <w:gridCol w:w="4560"/>
        <w:gridCol w:w="975"/>
        <w:gridCol w:w="6960"/>
        <w:tblGridChange w:id="0">
          <w:tblGrid>
            <w:gridCol w:w="1440"/>
            <w:gridCol w:w="4560"/>
            <w:gridCol w:w="975"/>
            <w:gridCol w:w="6960"/>
          </w:tblGrid>
        </w:tblGridChange>
      </w:tblGrid>
      <w:tr>
        <w:trPr>
          <w:cantSplit w:val="0"/>
          <w:tblHeader w:val="0"/>
        </w:trPr>
        <w:tc>
          <w:tcPr>
            <w:vAlign w:val="top"/>
          </w:tcPr>
          <w:p w:rsidR="00000000" w:rsidDel="00000000" w:rsidP="00000000" w:rsidRDefault="00000000" w:rsidRPr="00000000" w14:paraId="00000004">
            <w:pPr>
              <w:pStyle w:val="Heading1"/>
              <w:jc w:val="left"/>
              <w:rPr>
                <w:vertAlign w:val="baseline"/>
              </w:rPr>
            </w:pPr>
            <w:r w:rsidDel="00000000" w:rsidR="00000000" w:rsidRPr="00000000">
              <w:rPr>
                <w:b w:val="1"/>
                <w:vertAlign w:val="baseline"/>
                <w:rtl w:val="0"/>
              </w:rPr>
              <w:t xml:space="preserve">Employee:</w:t>
            </w:r>
            <w:r w:rsidDel="00000000" w:rsidR="00000000" w:rsidRPr="00000000">
              <w:rPr>
                <w:rtl w:val="0"/>
              </w:rPr>
            </w:r>
          </w:p>
        </w:tc>
        <w:tc>
          <w:tcPr>
            <w:vAlign w:val="top"/>
          </w:tcPr>
          <w:p w:rsidR="00000000" w:rsidDel="00000000" w:rsidP="00000000" w:rsidRDefault="00000000" w:rsidRPr="00000000" w14:paraId="00000005">
            <w:pPr>
              <w:pStyle w:val="Heading1"/>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06">
            <w:pPr>
              <w:pStyle w:val="Heading1"/>
              <w:jc w:val="left"/>
              <w:rPr>
                <w:vertAlign w:val="baseline"/>
              </w:rPr>
            </w:pPr>
            <w:r w:rsidDel="00000000" w:rsidR="00000000" w:rsidRPr="00000000">
              <w:rPr>
                <w:b w:val="1"/>
                <w:vertAlign w:val="baseline"/>
                <w:rtl w:val="0"/>
              </w:rPr>
              <w:t xml:space="preserve">School:</w:t>
            </w:r>
            <w:r w:rsidDel="00000000" w:rsidR="00000000" w:rsidRPr="00000000">
              <w:rPr>
                <w:rtl w:val="0"/>
              </w:rPr>
            </w:r>
          </w:p>
        </w:tc>
        <w:tc>
          <w:tcPr>
            <w:vAlign w:val="top"/>
          </w:tcPr>
          <w:p w:rsidR="00000000" w:rsidDel="00000000" w:rsidP="00000000" w:rsidRDefault="00000000" w:rsidRPr="00000000" w14:paraId="00000007">
            <w:pPr>
              <w:pStyle w:val="Heading1"/>
              <w:jc w:val="left"/>
              <w:rPr>
                <w:b w:val="0"/>
                <w:vertAlign w:val="baseline"/>
              </w:rPr>
            </w:pPr>
            <w:r w:rsidDel="00000000" w:rsidR="00000000" w:rsidRPr="00000000">
              <w:rPr>
                <w:rtl w:val="0"/>
              </w:rPr>
            </w:r>
          </w:p>
        </w:tc>
      </w:tr>
    </w:tbl>
    <w:p w:rsidR="00000000" w:rsidDel="00000000" w:rsidP="00000000" w:rsidRDefault="00000000" w:rsidRPr="00000000" w14:paraId="00000008">
      <w:pPr>
        <w:pStyle w:val="Heading1"/>
        <w:rPr>
          <w:vertAlign w:val="baseline"/>
        </w:rPr>
      </w:pPr>
      <w:r w:rsidDel="00000000" w:rsidR="00000000" w:rsidRPr="00000000">
        <w:rPr>
          <w:rtl w:val="0"/>
        </w:rPr>
      </w:r>
    </w:p>
    <w:p w:rsidR="00000000" w:rsidDel="00000000" w:rsidP="00000000" w:rsidRDefault="00000000" w:rsidRPr="00000000" w14:paraId="00000009">
      <w:pPr>
        <w:pStyle w:val="Heading1"/>
        <w:rPr>
          <w:vertAlign w:val="baseline"/>
        </w:rPr>
      </w:pPr>
      <w:r w:rsidDel="00000000" w:rsidR="00000000" w:rsidRPr="00000000">
        <w:rPr>
          <w:b w:val="1"/>
          <w:vertAlign w:val="baseline"/>
          <w:rtl w:val="0"/>
        </w:rPr>
        <w:t xml:space="preserve">STANDARD ONE</w:t>
      </w:r>
      <w:r w:rsidDel="00000000" w:rsidR="00000000" w:rsidRPr="00000000">
        <w:rPr>
          <w:rtl w:val="0"/>
        </w:rPr>
      </w:r>
    </w:p>
    <w:p w:rsidR="00000000" w:rsidDel="00000000" w:rsidP="00000000" w:rsidRDefault="00000000" w:rsidRPr="00000000" w14:paraId="0000000A">
      <w:pPr>
        <w:pStyle w:val="Heading2"/>
        <w:rPr>
          <w:vertAlign w:val="baseline"/>
        </w:rPr>
      </w:pPr>
      <w:r w:rsidDel="00000000" w:rsidR="00000000" w:rsidRPr="00000000">
        <w:rPr>
          <w:b w:val="1"/>
          <w:vertAlign w:val="baseline"/>
          <w:rtl w:val="0"/>
        </w:rPr>
        <w:t xml:space="preserve">ENGAGING &amp; SUPPORTING ALL STUDENTS IN LEARNING</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C">
      <w:pPr>
        <w:ind w:left="630" w:right="600" w:firstLine="0"/>
        <w:rPr>
          <w:b w:val="0"/>
          <w:i w:val="0"/>
          <w:sz w:val="20"/>
          <w:szCs w:val="20"/>
          <w:vertAlign w:val="baseline"/>
        </w:rPr>
      </w:pPr>
      <w:r w:rsidDel="00000000" w:rsidR="00000000" w:rsidRPr="00000000">
        <w:rPr>
          <w:i w:val="1"/>
          <w:sz w:val="20"/>
          <w:szCs w:val="20"/>
          <w:vertAlign w:val="baseline"/>
          <w:rtl w:val="0"/>
        </w:rPr>
        <w:t xml:space="preserve">The elements represent the key components of each standard.  It is </w:t>
      </w:r>
      <w:r w:rsidDel="00000000" w:rsidR="00000000" w:rsidRPr="00000000">
        <w:rPr>
          <w:i w:val="1"/>
          <w:sz w:val="20"/>
          <w:szCs w:val="20"/>
          <w:u w:val="single"/>
          <w:vertAlign w:val="baseline"/>
          <w:rtl w:val="0"/>
        </w:rPr>
        <w:t xml:space="preserve">not</w:t>
      </w:r>
      <w:r w:rsidDel="00000000" w:rsidR="00000000" w:rsidRPr="00000000">
        <w:rPr>
          <w:i w:val="1"/>
          <w:sz w:val="20"/>
          <w:szCs w:val="20"/>
          <w:vertAlign w:val="baseline"/>
          <w:rtl w:val="0"/>
        </w:rPr>
        <w:t xml:space="preserve"> necessary to write an individual goal or objective for each element.  The elements are listed as a guide to assist in defining and developing goals &amp; objectives.  Numbers are provided for ease of reference.  They do not imply priority or ordering of the elements</w:t>
      </w:r>
      <w:r w:rsidDel="00000000" w:rsidR="00000000" w:rsidRPr="00000000">
        <w:rPr>
          <w:b w:val="1"/>
          <w:i w:val="1"/>
          <w:sz w:val="20"/>
          <w:szCs w:val="20"/>
          <w:vertAlign w:val="baseline"/>
          <w:rtl w:val="0"/>
        </w:rPr>
        <w:t xml:space="preserve">.</w:t>
      </w:r>
      <w:r w:rsidDel="00000000" w:rsidR="00000000" w:rsidRPr="00000000">
        <w:rPr>
          <w:rtl w:val="0"/>
        </w:rPr>
      </w:r>
    </w:p>
    <w:p w:rsidR="00000000" w:rsidDel="00000000" w:rsidP="00000000" w:rsidRDefault="00000000" w:rsidRPr="00000000" w14:paraId="0000000D">
      <w:pPr>
        <w:jc w:val="both"/>
        <w:rPr>
          <w:b w:val="0"/>
          <w:i w:val="0"/>
          <w:sz w:val="20"/>
          <w:szCs w:val="20"/>
          <w:vertAlign w:val="baseline"/>
        </w:rPr>
      </w:pPr>
      <w:r w:rsidDel="00000000" w:rsidR="00000000" w:rsidRPr="00000000">
        <w:rPr>
          <w:rtl w:val="0"/>
        </w:rPr>
      </w:r>
    </w:p>
    <w:tbl>
      <w:tblPr>
        <w:tblStyle w:val="Table2"/>
        <w:tblW w:w="14130.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4095"/>
        <w:gridCol w:w="6750"/>
        <w:gridCol w:w="3285"/>
        <w:tblGridChange w:id="0">
          <w:tblGrid>
            <w:gridCol w:w="4095"/>
            <w:gridCol w:w="6750"/>
            <w:gridCol w:w="3285"/>
          </w:tblGrid>
        </w:tblGridChange>
      </w:tblGrid>
      <w:tr>
        <w:trPr>
          <w:cantSplit w:val="0"/>
          <w:trHeight w:val="25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0E">
            <w:pPr>
              <w:rPr>
                <w:b w:val="0"/>
                <w:vertAlign w:val="baseline"/>
              </w:rPr>
            </w:pPr>
            <w:r w:rsidDel="00000000" w:rsidR="00000000" w:rsidRPr="00000000">
              <w:rPr>
                <w:b w:val="1"/>
                <w:vertAlign w:val="baseline"/>
                <w:rtl w:val="0"/>
              </w:rPr>
              <w:t xml:space="preserve">Elements: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rPr>
                <w:b w:val="0"/>
                <w:vertAlign w:val="baseline"/>
              </w:rPr>
            </w:pPr>
            <w:r w:rsidDel="00000000" w:rsidR="00000000" w:rsidRPr="00000000">
              <w:rPr>
                <w:b w:val="1"/>
                <w:vertAlign w:val="baseline"/>
                <w:rtl w:val="0"/>
              </w:rPr>
              <w:t xml:space="preserve">Goals &amp; Objectives:</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10">
            <w:pPr>
              <w:rPr>
                <w:b w:val="0"/>
                <w:vertAlign w:val="baseline"/>
              </w:rPr>
            </w:pPr>
            <w:r w:rsidDel="00000000" w:rsidR="00000000" w:rsidRPr="00000000">
              <w:rPr>
                <w:b w:val="1"/>
                <w:vertAlign w:val="baseline"/>
                <w:rtl w:val="0"/>
              </w:rPr>
              <w:t xml:space="preserve">Evidenced by:</w:t>
            </w:r>
            <w:r w:rsidDel="00000000" w:rsidR="00000000" w:rsidRPr="00000000">
              <w:rPr>
                <w:rtl w:val="0"/>
              </w:rPr>
            </w:r>
          </w:p>
        </w:tc>
      </w:tr>
      <w:tr>
        <w:trPr>
          <w:cantSplit w:val="1"/>
          <w:trHeight w:val="810"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1">
            <w:pPr>
              <w:spacing w:after="120" w:before="120" w:lineRule="auto"/>
              <w:ind w:left="450" w:hanging="450"/>
              <w:rPr>
                <w:sz w:val="22"/>
                <w:szCs w:val="22"/>
                <w:vertAlign w:val="baseline"/>
              </w:rPr>
            </w:pPr>
            <w:r w:rsidDel="00000000" w:rsidR="00000000" w:rsidRPr="00000000">
              <w:rPr>
                <w:sz w:val="22"/>
                <w:szCs w:val="22"/>
                <w:rtl w:val="0"/>
              </w:rPr>
              <w:t xml:space="preserve">1A: Teachers plan and implement a student-centered learning perspective that frames diversity as an educational asset and supports each student in relevant and challenging experiences that explore students’ identities and extend their learning.</w:t>
            </w:r>
            <w:r w:rsidDel="00000000" w:rsidR="00000000" w:rsidRPr="00000000">
              <w:rPr>
                <w:rtl w:val="0"/>
              </w:rPr>
            </w:r>
          </w:p>
        </w:tc>
        <w:tc>
          <w:tcPr>
            <w:vMerge w:val="restart"/>
            <w:tcBorders>
              <w:top w:color="000000" w:space="0" w:sz="4" w:val="single"/>
              <w:left w:color="000000" w:space="0" w:sz="4" w:val="single"/>
            </w:tcBorders>
            <w:vAlign w:val="top"/>
          </w:tcPr>
          <w:p w:rsidR="00000000" w:rsidDel="00000000" w:rsidP="00000000" w:rsidRDefault="00000000" w:rsidRPr="00000000" w14:paraId="00000012">
            <w:pPr>
              <w:rPr>
                <w:b w:val="0"/>
                <w:sz w:val="22"/>
                <w:szCs w:val="22"/>
                <w:vertAlign w:val="baseline"/>
              </w:rPr>
            </w:pPr>
            <w:r w:rsidDel="00000000" w:rsidR="00000000" w:rsidRPr="00000000">
              <w:rPr>
                <w:rtl w:val="0"/>
              </w:rPr>
            </w:r>
          </w:p>
        </w:tc>
        <w:tc>
          <w:tcPr>
            <w:vMerge w:val="restart"/>
            <w:tcBorders>
              <w:top w:color="000000" w:space="0" w:sz="4" w:val="single"/>
              <w:left w:color="000000" w:space="0" w:sz="4" w:val="single"/>
            </w:tcBorders>
            <w:vAlign w:val="top"/>
          </w:tcPr>
          <w:p w:rsidR="00000000" w:rsidDel="00000000" w:rsidP="00000000" w:rsidRDefault="00000000" w:rsidRPr="00000000" w14:paraId="00000013">
            <w:pPr>
              <w:rPr>
                <w:b w:val="0"/>
                <w:sz w:val="22"/>
                <w:szCs w:val="22"/>
                <w:vertAlign w:val="baseline"/>
              </w:rPr>
            </w:pPr>
            <w:r w:rsidDel="00000000" w:rsidR="00000000" w:rsidRPr="00000000">
              <w:rPr>
                <w:rtl w:val="0"/>
              </w:rPr>
            </w:r>
          </w:p>
        </w:tc>
      </w:tr>
      <w:tr>
        <w:trPr>
          <w:cantSplit w:val="1"/>
          <w:trHeight w:val="1077"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4">
            <w:pPr>
              <w:spacing w:after="120" w:before="120" w:lineRule="auto"/>
              <w:ind w:left="450" w:hanging="450"/>
              <w:rPr>
                <w:sz w:val="22"/>
                <w:szCs w:val="22"/>
                <w:vertAlign w:val="baseline"/>
              </w:rPr>
            </w:pPr>
            <w:r w:rsidDel="00000000" w:rsidR="00000000" w:rsidRPr="00000000">
              <w:rPr>
                <w:sz w:val="22"/>
                <w:szCs w:val="22"/>
                <w:rtl w:val="0"/>
              </w:rPr>
              <w:t xml:space="preserve">1B: Teachers elicit and solicit knowledge of each student’s assets and needs, including cognitive, cultural and linguistic, social–emotional, and physical and developmental capacities, in the service of increasing active engagement in learning.</w:t>
            </w: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r>
      <w:tr>
        <w:trPr>
          <w:cantSplit w:val="1"/>
          <w:trHeight w:val="703"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7">
            <w:pPr>
              <w:spacing w:after="120" w:before="120" w:lineRule="auto"/>
              <w:ind w:left="450" w:hanging="450"/>
              <w:rPr>
                <w:sz w:val="22"/>
                <w:szCs w:val="22"/>
                <w:vertAlign w:val="baseline"/>
              </w:rPr>
            </w:pPr>
            <w:r w:rsidDel="00000000" w:rsidR="00000000" w:rsidRPr="00000000">
              <w:rPr>
                <w:sz w:val="22"/>
                <w:szCs w:val="22"/>
                <w:rtl w:val="0"/>
              </w:rPr>
              <w:t xml:space="preserve">1C: Teachers meaningfully engage and form partnerships with families, guardians, and caregivers in addressing each student’s learning needs, health, and well-being and are responsive to the range of economic, social, cultural, linguistic, and community factors that affect student development and learning.</w:t>
            </w: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r>
      <w:tr>
        <w:trPr>
          <w:cantSplit w:val="1"/>
          <w:trHeight w:val="1182" w:hRule="atLeast"/>
          <w:tblHeader w:val="0"/>
        </w:trPr>
        <w:tc>
          <w:tcPr>
            <w:tcBorders>
              <w:top w:color="000000" w:space="0" w:sz="4" w:val="single"/>
              <w:bottom w:color="000000" w:space="0" w:sz="4" w:val="single"/>
              <w:right w:color="000000" w:space="0" w:sz="4" w:val="single"/>
            </w:tcBorders>
            <w:vAlign w:val="top"/>
          </w:tcPr>
          <w:p w:rsidR="00000000" w:rsidDel="00000000" w:rsidP="00000000" w:rsidRDefault="00000000" w:rsidRPr="00000000" w14:paraId="0000001A">
            <w:pPr>
              <w:spacing w:after="120" w:before="120" w:lineRule="auto"/>
              <w:ind w:left="450" w:hanging="450"/>
              <w:rPr>
                <w:sz w:val="22"/>
                <w:szCs w:val="22"/>
                <w:vertAlign w:val="baseline"/>
              </w:rPr>
            </w:pPr>
            <w:r w:rsidDel="00000000" w:rsidR="00000000" w:rsidRPr="00000000">
              <w:rPr>
                <w:sz w:val="22"/>
                <w:szCs w:val="22"/>
                <w:rtl w:val="0"/>
              </w:rPr>
              <w:t xml:space="preserve">1D: Teachers are responsive to students’ diverse experiences, cultures, languages, identities, interests, strengths, and needs and apply evidence-based principles that intentionally cultivate equitable access, opportunities, and positive outcomes for each student.</w:t>
            </w: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2"/>
                <w:szCs w:val="22"/>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Signature</w:t>
      </w:r>
      <w:r w:rsidDel="00000000" w:rsidR="00000000" w:rsidRPr="00000000">
        <w:rPr>
          <w:b w:val="1"/>
          <w:rtl w:val="0"/>
        </w:rPr>
        <w:t xml:space="preserve">:</w:t>
      </w:r>
      <w:r w:rsidDel="00000000" w:rsidR="00000000" w:rsidRPr="00000000">
        <w:rPr>
          <w:u w:val="single"/>
          <w:rtl w:val="0"/>
        </w:rPr>
        <w:t xml:space="preserve"> _________________________________________________________________________________________________________________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Employee</w:t>
        <w:tab/>
        <w:tab/>
        <w:t xml:space="preserve">Administrator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  Date</w:t>
      </w:r>
      <w:r w:rsidDel="00000000" w:rsidR="00000000" w:rsidRPr="00000000">
        <w:rPr>
          <w:rtl w:val="0"/>
        </w:rPr>
      </w:r>
    </w:p>
    <w:sectPr>
      <w:footerReference r:id="rId6" w:type="default"/>
      <w:pgSz w:h="12240" w:w="15840" w:orient="landscape"/>
      <w:pgMar w:bottom="288" w:top="245" w:left="288" w:right="2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Cotati-Rohnert Park Unified School District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b w:val="1"/>
        <w:sz w:val="18"/>
        <w:szCs w:val="18"/>
      </w:rPr>
    </w:pPr>
    <w:r w:rsidDel="00000000" w:rsidR="00000000" w:rsidRPr="00000000">
      <w:rPr>
        <w:b w:val="1"/>
        <w:sz w:val="18"/>
        <w:szCs w:val="18"/>
        <w:rtl w:val="0"/>
      </w:rPr>
      <w:t xml:space="preserve">Revised 9/16/2025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jc w:val="center"/>
    </w:pPr>
    <w:rPr>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jc w:val="center"/>
    </w:pPr>
    <w:rPr>
      <w:b w:val="1"/>
      <w:smallCap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